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B0C" w:rsidRDefault="00037B0C" w:rsidP="00037B0C">
      <w:pPr>
        <w:pStyle w:val="1"/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55. СЕКЦІЙНЕ ДОСЛІДЖЕННЯ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Обсяг медичних послуг, який надавач зобов’язується надавати за договором (специфікація)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Проведення патологоанатомічних розтинів тіл померлих, мертвонароджених та плодів від пізніх викиднів (без ознак насильницької смерті, та без підозри на насильницьку смерть) у закладах охорони здоров’я (ЗОЗ) методом посмертного патологоанатомічного дослідження внутрішніх органів і тканин померлого.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Організація проведення дослідження секційного матеріалу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аутопсійний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матеріал), взятого під час розтину з обов’язковим проведенням гістологічного дослідження.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 Дотримання належного ставлення тіла померлого, збереження його анатомічної форми та забезпечення конфіденційності інформації про померлого.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Встановлення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паталогоанатомічного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діагнозу та складанням клініко-патологоанатомічного епікризу з виділенням безпосередньої причини та механізмів смерті, порівнянням заключного клінічного та патологоанатомічного діагнозів за результатами розтину,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патологогістологічного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іншого дослідження секційного матеріалу.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adm7oa9ue0g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5.      Забезпечення доставки тіла померлого до місця проведення розтину замовником.</w:t>
      </w:r>
    </w:p>
    <w:p w:rsidR="00037B0C" w:rsidRDefault="00037B0C" w:rsidP="00037B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93ecc24pnihj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СЕКЦІЙНЕ ДОСЛІДЖЕННЯ 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Умови закупівлі медичних послуг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Умови надання послуги: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у випадках смерті у ЗОЗ – направлення закладу на розтин та форми первинної облікової документації: N003/о «Медична карта стаціонарного хворого N __» (із зазначеним заключним клінічним діагнозом, клінічним епікризом, письмової вказівки посадової особи ЗОЗ про направлення на розтин та оригінали матеріалів проведених досліджень) або N 096/о «Історія вагітності та пологів N __»;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у випадках смерті за місцем проживання – форми первинної облікової документації N 025/о «Медична карта амбулаторного хворого N __» або N 027/о "Виписка із медичної карти амбулаторного (стаціонарного) хворого" а також копії висновку щодо ненасильницької смерті людини за місцем проживання за формою, яка наведена у додатку до Порядку взаємодії між органами та підрозділами Національної поліції, закладами охорони здоров'я та органами прокуратури України при встановленні факту смерті людини. У патологоанатомічне відділення ЗОЗ (бюро, центр) може бути подана інша первинна медична документація за формами первинної облікової документації, затвердженими наказом Міністерства охорони здоров'я України від 14 лютого 2012 року № 110, зареєстрованими в Міністерстві юстиції України 28 квітня 2012 року за № 661/20974, яка стосується випадку смерті.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Підстави надання послуги: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біологічна смерть у ЗОЗ або за місцем проживання.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Вимоги до організації надання послуги: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Наявність секційного залу (приміщення) патологоанатомічного відділення ЗОЗ (бюро, центру) з оснащеним місцем проведення патологоанатомічного розтину, відповідно до галузевих стандартів у сфері охорони здоров’я.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    Наявність умов зберігання тіл у патологоанатомічних відділеннях ЗОЗ (бюро, центрі) за умов, що запобігають гниттю, впродовж не менше ніж 3 доби.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 Організація проведення дослідження секційного матеріалу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аутопсійний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матеріал), взятого під час розтину для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патологогістологічного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інших досліджень.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  Забезпечення працівників засобами індивідуального захисту відповідно до чинних нормативно-правових актів.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  Проведення посмертної діагностики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патологічних процесів, встановлення причин та механізмів смерті та проведення порівняння заключного клінічного та патологоанатомічного діагнозів за результатами розтину.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  Наявність затвердженого керівництвом закладу часу роботи закладу, виконання патологоанатомічних розтинів тіл померлих та досліджень операційного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біопсійного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матеріалів, порядок видачі лікарських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свідоцтв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смерть та тіл померлих, повідомлення результатів дослідження.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Організація управління відходами, які утворилися під час розтину, відповідно до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Державних 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відходів», затверджених наказом Міністерства охорони здоров’я України 31 жовтня 2024 р. № 1827, зареєстрованих в Міністерстві юстиції України 18 грудня 2024 р. за                                                                    № 1938/43283.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  Забезпечення дотримання належного ставлення до тіла померлого та збереження його анатомічної форми.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  Збір та обробка персональних даних здійснюються відповідно до вимог Закону України «Про захист персональних даних». </w:t>
      </w:r>
    </w:p>
    <w:p w:rsidR="00037B0C" w:rsidRDefault="00037B0C" w:rsidP="00037B0C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Забезпечення залучення до надання медичної допомоги лікарів-інтернів, які проходять підготовку на визначених у встановленому порядку базах стажування лікарів (фармацевтів)-інтернів і в закладах охорони здоров’я, в яких лікарі (фармацевти)-інтерни проходять практичну частину підготовки в інтернатурі, під керівництвом лікарів-кураторів з дотриманням вимог безпеки пацієнтів та належної якості медичної допомоги.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Вимоги до спеціалістів та кількості фахівців, які працюють на посадах: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За місцем надання медичних послуг: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     Лікар-патологоанатом або лікар-патологоанатом дитячий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щонайменше 1 особа, яка працює за основним місцем роботи у цьому ЗОЗ.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   Лаборант – щонайменше 1 особа, яка працює за основним місцем роботи у цьому ЗОЗ.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      Молодша медична сестра (молодший медичний брат)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щонайменше 1 особа, яка працює за основним місцем роботи у цьому ЗОЗ.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Вимоги до переліку обладнання: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За місцем надання медичних послуг: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      холодильна камера;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   апарат для гістологічної обробки (проводки) тканин або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гістопроцесор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карусельного чи інших типів, або обладнане термостатом (не менше двох на кожне відділення або лабораторію) робоче місце лаборанта-гістолога;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c.       мікроскоп лабораторний  бінокулярний з освітлювачем і набором об'єктивів від х2-4 до х100;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   мікротом.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Інші вимоги: </w:t>
      </w:r>
    </w:p>
    <w:p w:rsidR="00037B0C" w:rsidRDefault="00037B0C" w:rsidP="00037B0C">
      <w:pPr>
        <w:keepLines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Наявність ліцензії на провадження господарської діяльності з медичної практики за спеціальністю - патологічна анатомія та/або дитяча патологічна анатомія.</w:t>
      </w:r>
    </w:p>
    <w:p w:rsidR="00CB79E6" w:rsidRDefault="00CB79E6">
      <w:bookmarkStart w:id="2" w:name="_GoBack"/>
      <w:bookmarkEnd w:id="2"/>
    </w:p>
    <w:sectPr w:rsidR="00CB7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C"/>
    <w:rsid w:val="00037B0C"/>
    <w:rsid w:val="00CB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94492-ABBD-4FA8-BFC0-7F201430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B0C"/>
    <w:rPr>
      <w:rFonts w:ascii="Calibri" w:eastAsia="Calibri" w:hAnsi="Calibri" w:cs="Calibri"/>
      <w:lang w:val="uk" w:eastAsia="uk-UA"/>
    </w:rPr>
  </w:style>
  <w:style w:type="paragraph" w:styleId="1">
    <w:name w:val="heading 1"/>
    <w:basedOn w:val="a"/>
    <w:next w:val="a"/>
    <w:link w:val="10"/>
    <w:uiPriority w:val="9"/>
    <w:qFormat/>
    <w:rsid w:val="00037B0C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B0C"/>
    <w:rPr>
      <w:rFonts w:ascii="Calibri" w:eastAsia="Calibri" w:hAnsi="Calibri" w:cs="Calibri"/>
      <w:b/>
      <w:sz w:val="48"/>
      <w:szCs w:val="48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3799</Words>
  <Characters>2166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NHSU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Омельченко</dc:creator>
  <cp:keywords/>
  <dc:description/>
  <cp:lastModifiedBy>Богдан Омельченко</cp:lastModifiedBy>
  <cp:revision>1</cp:revision>
  <dcterms:created xsi:type="dcterms:W3CDTF">2025-09-30T17:04:00Z</dcterms:created>
  <dcterms:modified xsi:type="dcterms:W3CDTF">2025-09-30T17:04:00Z</dcterms:modified>
</cp:coreProperties>
</file>