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3C4D8">
      <w:pPr>
        <w:keepLines/>
        <w:shd w:val="clear" w:color="auto" w:fill="FFFFFF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СЕКЦІЙНЕ ДОСЛІДЖЕННЯ</w:t>
      </w:r>
    </w:p>
    <w:p w14:paraId="0E1BAB83">
      <w:pPr>
        <w:keepLines/>
        <w:shd w:val="clear" w:color="auto" w:fill="FFFFFF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Обсяг медичних послуг, який надавач зобов’язується надавати за договором (специфікація)</w:t>
      </w:r>
    </w:p>
    <w:p w14:paraId="45245523">
      <w:pPr>
        <w:keepLines/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47F6223">
      <w:pPr>
        <w:keepLines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 Проведення патологоанатомічних розтинів тіл померлих, мертвонароджених та плодів від пізніх викиднів (без ознак насильницької смерті, та без підозри на насильницьку смерть) у закладах охорони здоров’я (ЗОЗ) методом посмертного патологоанатомічного дослідження внутрішніх органів і тканин померлого.</w:t>
      </w:r>
    </w:p>
    <w:p w14:paraId="4D0825EA">
      <w:pPr>
        <w:keepLines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Організація проведення дослідження секційного матеріалу (аутопсійний матеріал), взятого під час розтину з обов’язковим проведенням гістологічного дослідження.</w:t>
      </w:r>
    </w:p>
    <w:p w14:paraId="12BA0948">
      <w:pPr>
        <w:keepLines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  Дотримання належного ставлення тіла померлого, збереження його анатомічної форми та забезпечення конфіденційності інформації про померлого.</w:t>
      </w:r>
    </w:p>
    <w:p w14:paraId="13B890ED">
      <w:pPr>
        <w:keepLines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Встановлення паталогоанатомічного діагнозу та складанням клініко-патологоанатомічного епікризу з виділенням безпосередньої причини та механізмів смерті, порівнянням заключного клінічного та патологоанатомічного діагнозів за результатами розтину, патологогістологічного і іншого дослідження секційного матеріалу.</w:t>
      </w:r>
    </w:p>
    <w:p w14:paraId="26D39C85">
      <w:pPr>
        <w:keepLines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uk-UA"/>
        </w:rPr>
        <w:t xml:space="preserve">5.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Забезпечення доставки тіла померлого до місця проведення розтину замовником.</w:t>
      </w:r>
      <w:bookmarkStart w:id="0" w:name="_heading=h.adm7oa9ue0g"/>
      <w:bookmarkEnd w:id="0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pto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59"/>
    <w:rsid w:val="00722F59"/>
    <w:rsid w:val="00A94EFD"/>
    <w:rsid w:val="74A8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Aptos" w:hAnsi="Aptos" w:eastAsia="Times New Roman" w:cs="Times New Roman"/>
      <w:sz w:val="22"/>
      <w:szCs w:val="22"/>
      <w:lang w:val="uk-UA" w:eastAsia="uk-UA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60" w:after="80"/>
      <w:outlineLvl w:val="0"/>
    </w:pPr>
    <w:rPr>
      <w:color w:val="2F5597" w:themeColor="accent1" w:themeShade="BF"/>
      <w:sz w:val="40"/>
      <w:szCs w:val="4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9"/>
    <w:rPr>
      <w:rFonts w:ascii="Aptos" w:hAnsi="Aptos" w:eastAsia="Times New Roman" w:cs="Times New Roman"/>
      <w:color w:val="2F5597" w:themeColor="accent1" w:themeShade="BF"/>
      <w:sz w:val="40"/>
      <w:szCs w:val="40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NHSU</Company>
  <Pages>1</Pages>
  <Words>3309</Words>
  <Characters>1887</Characters>
  <Lines>15</Lines>
  <Paragraphs>10</Paragraphs>
  <TotalTime>0</TotalTime>
  <ScaleCrop>false</ScaleCrop>
  <LinksUpToDate>false</LinksUpToDate>
  <CharactersWithSpaces>5186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2024-05-21T09:08:00Z</dcterms:created>
  <dc:creator>Богдан Омельченко</dc:creator>
  <cp:lastModifiedBy>TOKPNL_EPID</cp:lastModifiedBy>
  <dcterms:modified xsi:type="dcterms:W3CDTF">2025-01-27T13:39:59Z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9BFC69E77E93467982525089066A4842_12</vt:lpwstr>
  </property>
</Properties>
</file>