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EC73F6">
      <w:pPr>
        <w:pStyle w:val="2"/>
        <w:keepNext w:val="0"/>
        <w:keepLines w:val="0"/>
        <w:shd w:val="clear" w:color="auto" w:fill="FFFFFF"/>
        <w:spacing w:before="480" w:after="0" w:line="276" w:lineRule="auto"/>
        <w:jc w:val="center"/>
        <w:rPr>
          <w:rFonts w:ascii="Times New Roman" w:hAnsi="Times New Roman"/>
          <w:sz w:val="24"/>
          <w:szCs w:val="24"/>
        </w:rPr>
      </w:pPr>
      <w:bookmarkStart w:id="0" w:name="_heading=h.g4lj1rrszn0b"/>
      <w:bookmarkEnd w:id="0"/>
      <w:r>
        <w:rPr>
          <w:rFonts w:ascii="Times New Roman" w:hAnsi="Times New Roman"/>
          <w:sz w:val="24"/>
          <w:szCs w:val="24"/>
        </w:rPr>
        <w:t>СТАЦІОНАРНА ДОПОМОГА ДОРОСЛИМ ТА ДІТЯМ БЕЗ ПРОВЕДЕННЯ ХІРУРГІЧНИХ ОПЕРАЦІЙ</w:t>
      </w:r>
    </w:p>
    <w:p w14:paraId="363615B0">
      <w:pPr>
        <w:shd w:val="clear" w:color="auto" w:fill="FFFFFF"/>
        <w:spacing w:before="240"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1CF050C8">
      <w:pPr>
        <w:shd w:val="clear" w:color="auto" w:fill="FFFFFF"/>
        <w:spacing w:before="240"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Обсяг медичних послуг, який надавач зобов’язується надавати за договором відповідно до медичних потреб пацієнта/пацієнтки (специфікація)</w:t>
      </w:r>
    </w:p>
    <w:p w14:paraId="366F5A52">
      <w:pPr>
        <w:shd w:val="clear" w:color="auto" w:fill="FFFFFF"/>
        <w:spacing w:after="0" w:line="276" w:lineRule="auto"/>
        <w:ind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F4DB94F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Забезпечення первинного огляду пацієнта/пацієнтки з визначенням його/її маршрутизації.</w:t>
      </w:r>
    </w:p>
    <w:p w14:paraId="120A9655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Проведення лабораторних досліджень, зокрема:</w:t>
      </w:r>
    </w:p>
    <w:p w14:paraId="5FC7BBE7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розгорнутий клінічний аналіз крові;</w:t>
      </w:r>
    </w:p>
    <w:p w14:paraId="653BFEE8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група крові і резус-фактора;</w:t>
      </w:r>
    </w:p>
    <w:p w14:paraId="76525CF8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біохімічний аналіз крові (загальний білок, альбумін, глобулін, альфа-амілаза, аспартатамінотрансфераза (АсАТ), аланінамінотрансфераза (АлАТ), білірубін і його фракції (загальний, прямий, непрямий), креатинін, сечовина, сечова кислота, електроліти: калій, хлор, натрій, магній, кальцій; феритин; сироватковий прокальцитонін, тропонін I або Т, високочутливий (hs-cTnI); гамма-глутамінтранспептидаза (ГГТП), лужна фосфатаза, показник антинуклеарних антитіл (АNA)) глікозильований гемоглобін, глюкоза;</w:t>
      </w:r>
    </w:p>
    <w:p w14:paraId="726EB9B5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ліпідний профіль: тригліцериди, загальний холестерин, ліпопротеїди низької щільності (ЛПНЩ), ліпопротеїди високої щільності (ЛПВЩ) в сироватці крові;</w:t>
      </w:r>
    </w:p>
    <w:p w14:paraId="44DE2E08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ревматологічні та гострофазові показники (ревматоїдний фактор (кількісне визначення), сіалові кислоти, С-реактивний білок (кількісне визначення), антистрептолізин-О (кількісне визначення));</w:t>
      </w:r>
    </w:p>
    <w:p w14:paraId="57F0F52C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коагуляційний гемостаз (тромбіновий час, активований частковий (парціальний) тромбопластиновий час (АЧТЧ, АПТЧ), фібриноген, міжнародне нормалізоване відношення (МНВ));</w:t>
      </w:r>
    </w:p>
    <w:p w14:paraId="6891DCB4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глюкоза в цільній крові; </w:t>
      </w:r>
    </w:p>
    <w:p w14:paraId="08AB36FB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глюкозотолерантний тест;</w:t>
      </w:r>
    </w:p>
    <w:p w14:paraId="1FDDC109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дослідження спинномозкової рідини;</w:t>
      </w:r>
    </w:p>
    <w:p w14:paraId="3D22EF55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аналіз сечі загальний;</w:t>
      </w:r>
    </w:p>
    <w:p w14:paraId="321F564A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мікроальбумін у сечі;</w:t>
      </w:r>
    </w:p>
    <w:p w14:paraId="11CD4A7C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кетони (ацетон) сечі;</w:t>
      </w:r>
    </w:p>
    <w:p w14:paraId="7D2DEF8A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копрограма;</w:t>
      </w:r>
    </w:p>
    <w:p w14:paraId="7CAF89C2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тестування на сифіліс, гепатити, ВІЛ, SARS-CoV-2, грип;</w:t>
      </w:r>
    </w:p>
    <w:p w14:paraId="79A91E73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бактеріологічні дослідження з визначенням патогенної флори, умовно патогенних та облігатних бактерій, а також мікропреципітації на сифіліс, визначення найпростіших та гельмінтів калу, серотипування та чутливість до антибактеріальної терапії;</w:t>
      </w:r>
    </w:p>
    <w:p w14:paraId="5C9B8237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інші лабораторні дослідження відповідно до галузевих стандартів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0A83B4EC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Проведення інструментальних обстежень, зокрема:</w:t>
      </w:r>
    </w:p>
    <w:p w14:paraId="14572650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електрокардіографія (ЕКГ);</w:t>
      </w:r>
    </w:p>
    <w:p w14:paraId="4DAC49B2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ультразвукові дослідження, зокрема, із проведенням доплерографії;</w:t>
      </w:r>
    </w:p>
    <w:p w14:paraId="2A62C91F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ендоскопічні дослідження;</w:t>
      </w:r>
    </w:p>
    <w:p w14:paraId="4F157C22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рентгенологічні дослідження, зокрема, комп’ютерна томографія (зокрема, з внутрішньовенним контрастуванням);</w:t>
      </w:r>
    </w:p>
    <w:p w14:paraId="02D58D08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магнітно-резонансна томографія (зокрема, з внутрішньовенним контрастуванням);</w:t>
      </w:r>
    </w:p>
    <w:p w14:paraId="3EE4595A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інші інструментальні дослідження відповідно до галузевих стандартів.</w:t>
      </w:r>
    </w:p>
    <w:p w14:paraId="7BE98339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Своєчасне знеболення на всіх етапах діагностики та лікування: обов’язкове анестезіологічне забезпечення під час виконання всіх інвазивних діагностичних та інших лікувальних процедур, які цього вимагають, цілодобовий доступ до ненаркотичних та наркотичних знеболювальних засобів.</w:t>
      </w:r>
    </w:p>
    <w:p w14:paraId="282E61C6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Надання кисневої підтримки пацієнту/пацієнтці у разі потреби.</w:t>
      </w:r>
    </w:p>
    <w:p w14:paraId="083BBE76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Надання медичної допомоги, направленої на полегшення, зняття чи усунення симптомів і проявів захворювання чи іншого порушення життєдіяльності, нормалізація порушених процесів життєдіяльності і одужання, відновлення здоров’я пацієнта/пацієнтки без застосування хірургічних операцій.</w:t>
      </w:r>
    </w:p>
    <w:p w14:paraId="0674D44E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Проведення інтенсивної терапії пацієнту/пацієнтці у випадку виникнення у них загрозливих для життя станів.</w:t>
      </w:r>
    </w:p>
    <w:p w14:paraId="45AAF168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Проведення консультацій лікарями інших спеціальностей у ЗОЗ або на умовах договору підряду.</w:t>
      </w:r>
    </w:p>
    <w:p w14:paraId="1CF6F99B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Надання пацієнтам послуг з  реабілітації в гострому періоді реабілітації (за відсутності протипоказань) в стаціонарних умовах та направлення пацієнта/пацієнтки для отримання реабілітаційної допомоги у післягострому та довготривалому періодах реабілітації. </w:t>
      </w:r>
    </w:p>
    <w:p w14:paraId="1DCD21A0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Надання медичної допомоги вагітним з ускладненим перебігом вагітності та/або екстрагенітальною патологією.</w:t>
      </w:r>
    </w:p>
    <w:p w14:paraId="1968DD59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Забезпечення цілодобового лікарського спостереження та медсестринського догляду.</w:t>
      </w:r>
    </w:p>
    <w:p w14:paraId="2CEEEBDF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Проведення заходів із профілактики захворювань.</w:t>
      </w:r>
    </w:p>
    <w:p w14:paraId="5EF26185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Направлення пацієнта/пацієнтки (за потреби) в інші заклади охорони здоров'я (ЗОЗ)/підрозділи для надання їм спеціалізованої та паліативної медичної допомоги.</w:t>
      </w:r>
    </w:p>
    <w:p w14:paraId="6461A811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Інформування пацієнтів та /або опікунів чи родичів щодо отримання безкоштовних медичних послуг та лікарських засобів в умовах стаціонару.</w:t>
      </w:r>
    </w:p>
    <w:p w14:paraId="7C64BEC4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Забезпечення лікарськими засобами, постачання яких здійснюється шляхом централізованих закупівель МОЗ, за рахунок інших програм центрального та місцевого бюджетів, а також лікарськими засобами, визначеними Національним переліком основних лікарських засобів, необхідними медичними виробами та витратними матеріалами відповідно до галузевих стандартів у сфері охорони здоров’я та медико-технологічних документів.</w:t>
      </w:r>
    </w:p>
    <w:p w14:paraId="3579A365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Забезпечення харчуванням в умовах стаціонару.</w:t>
      </w:r>
    </w:p>
    <w:p w14:paraId="121E9837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Забезпечення надання медичної допомоги телемедичними засобами (телеконсультування/телевідеоконсультування у режимі реального або відкладеного часу, теледіагностики, спостереження у режимі віддаленого моніторингу, телеметрії).</w:t>
      </w:r>
    </w:p>
    <w:p w14:paraId="6A7A6D97">
      <w:pPr>
        <w:numPr>
          <w:ilvl w:val="0"/>
          <w:numId w:val="5"/>
        </w:numPr>
        <w:shd w:val="clear" w:color="auto" w:fill="FFFFFF"/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Дотримання принципів безбар’єрності та інклюзії при наданні медичної та/або реабілітаційної допомоги, у тому числі з використанням методів і засобів телемедицини відповідно до нормативно-правових актів.</w:t>
      </w:r>
    </w:p>
    <w:p w14:paraId="1F13BB7F">
      <w:pPr>
        <w:shd w:val="clear" w:color="auto" w:fill="FFFFFF"/>
        <w:spacing w:after="0" w:line="276" w:lineRule="auto"/>
        <w:ind w:left="-360" w:firstLine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7F005D87">
      <w:pPr>
        <w:shd w:val="clear" w:color="auto" w:fill="FFFFFF"/>
        <w:spacing w:after="0" w:line="276" w:lineRule="auto"/>
        <w:ind w:left="5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Додаткові вимоги до обсягу медичних послуг, який надавач зобов’язується надавати за договором відповідно до медичних потреб пацієнта/пацієнтки (специфікація) (для надання медичної допомоги дітям):</w:t>
      </w:r>
    </w:p>
    <w:p w14:paraId="280CA6C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Надання медичної допомоги дітям із гострими та хронічними захворюваннями, зокрема, у відділенні інтенсивної терапії, відповідно до галузевих стандартів у сфері охорони здоров’я.</w:t>
      </w:r>
    </w:p>
    <w:p w14:paraId="0AD6520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Цілодобове проведення інструментальних досліджень в умовах стаціонару </w:t>
      </w:r>
      <w:r>
        <w:rPr>
          <w:rFonts w:ascii="Times New Roman" w:hAnsi="Times New Roman"/>
          <w:b/>
          <w:sz w:val="24"/>
          <w:szCs w:val="24"/>
          <w:highlight w:val="white"/>
        </w:rPr>
        <w:t>для надавачів, що надають ургентну медичну допомогу.</w:t>
      </w:r>
    </w:p>
    <w:p w14:paraId="66A3907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Цілодобове проведення лабораторних досліджень у ЗОЗ.</w:t>
      </w:r>
    </w:p>
    <w:p w14:paraId="35CE2E80">
      <w:pPr>
        <w:shd w:val="clear" w:color="auto" w:fill="FFFFFF"/>
        <w:spacing w:after="0"/>
        <w:ind w:left="1080" w:hanging="360"/>
        <w:jc w:val="both"/>
        <w:rPr>
          <w:rFonts w:ascii="Times New Roman" w:hAnsi="Times New Roman"/>
          <w:sz w:val="24"/>
          <w:szCs w:val="24"/>
        </w:rPr>
      </w:pPr>
    </w:p>
    <w:p w14:paraId="30BA92B4">
      <w:pPr>
        <w:shd w:val="clear" w:color="auto" w:fill="FFFFFF"/>
        <w:spacing w:after="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D549325">
      <w:pPr>
        <w:shd w:val="clear" w:color="auto" w:fill="FFFFFF"/>
        <w:spacing w:after="0" w:line="276" w:lineRule="auto"/>
        <w:ind w:left="5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Додаткові вимоги до обсягу медичних послуг, який надавач зобов’язується надавати за договором відповідно до медичних потреб пацієнта/пацієнтки (специфікація) (для надання медичної допомоги дорослим):</w:t>
      </w:r>
    </w:p>
    <w:p w14:paraId="14E9614F">
      <w:pPr>
        <w:shd w:val="clear" w:color="auto" w:fill="FFFFFF"/>
        <w:spacing w:after="0" w:line="276" w:lineRule="auto"/>
        <w:ind w:left="5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</w:p>
    <w:p w14:paraId="5EDD96E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Надання медичної допомоги дорослим із гострими та хронічними захворюваннями, зокрема, у відділенні інтенсивної терапії, відповідно до галузевих стандартів у сфері охорони здоров’я.</w:t>
      </w:r>
    </w:p>
    <w:p w14:paraId="4F7E961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Цілодобове проведення інструментальних досліджень в умовах стаціонару ЗОЗ </w:t>
      </w:r>
      <w:r>
        <w:rPr>
          <w:rFonts w:ascii="Times New Roman" w:hAnsi="Times New Roman"/>
          <w:b/>
          <w:sz w:val="24"/>
          <w:szCs w:val="24"/>
          <w:highlight w:val="white"/>
        </w:rPr>
        <w:t>для надавачів, що надають ургентну медичну допомогу.</w:t>
      </w:r>
    </w:p>
    <w:p w14:paraId="6837C59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Цілодобове проведення лабораторних досліджень у ЗОЗ.</w:t>
      </w:r>
    </w:p>
    <w:p w14:paraId="481B99D3">
      <w:pPr>
        <w:shd w:val="clear" w:color="auto" w:fill="FFFFFF"/>
        <w:spacing w:after="0" w:line="276" w:lineRule="auto"/>
        <w:ind w:left="720" w:firstLine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5C7ACDA">
      <w:bookmarkStart w:id="1" w:name="_GoBack"/>
      <w:bookmarkEnd w:id="1"/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3C6966"/>
    <w:multiLevelType w:val="multilevel"/>
    <w:tmpl w:val="0D3C6966"/>
    <w:lvl w:ilvl="0" w:tentative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>
    <w:nsid w:val="151170EC"/>
    <w:multiLevelType w:val="multilevel"/>
    <w:tmpl w:val="151170EC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188F49C1"/>
    <w:multiLevelType w:val="multilevel"/>
    <w:tmpl w:val="188F49C1"/>
    <w:lvl w:ilvl="0" w:tentative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2066237A"/>
    <w:multiLevelType w:val="multilevel"/>
    <w:tmpl w:val="2066237A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B30FD"/>
    <w:multiLevelType w:val="multilevel"/>
    <w:tmpl w:val="31EB30FD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46C67"/>
    <w:multiLevelType w:val="multilevel"/>
    <w:tmpl w:val="36546C67"/>
    <w:lvl w:ilvl="0" w:tentative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6FE336F1"/>
    <w:multiLevelType w:val="multilevel"/>
    <w:tmpl w:val="6FE336F1"/>
    <w:lvl w:ilvl="0" w:tentative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A52"/>
    <w:rsid w:val="0092263E"/>
    <w:rsid w:val="00946A52"/>
    <w:rsid w:val="6D68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Times New Roman" w:cs="Times New Roman"/>
      <w:sz w:val="22"/>
      <w:szCs w:val="22"/>
      <w:lang w:val="uk-UA" w:eastAsia="uk-UA" w:bidi="ar-SA"/>
    </w:rPr>
  </w:style>
  <w:style w:type="paragraph" w:styleId="2">
    <w:name w:val="heading 2"/>
    <w:basedOn w:val="1"/>
    <w:next w:val="1"/>
    <w:link w:val="5"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2 Знак"/>
    <w:basedOn w:val="3"/>
    <w:link w:val="2"/>
    <w:uiPriority w:val="9"/>
    <w:rPr>
      <w:rFonts w:ascii="Calibri" w:hAnsi="Calibri" w:eastAsia="Times New Roman" w:cs="Times New Roman"/>
      <w:b/>
      <w:sz w:val="36"/>
      <w:szCs w:val="36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NHSU</Company>
  <Pages>3</Pages>
  <Words>20020</Words>
  <Characters>11412</Characters>
  <Lines>95</Lines>
  <Paragraphs>62</Paragraphs>
  <TotalTime>0</TotalTime>
  <ScaleCrop>false</ScaleCrop>
  <LinksUpToDate>false</LinksUpToDate>
  <CharactersWithSpaces>31370</CharactersWithSpaces>
  <Application>WPS Office_12.2.0.19778_F1E327BC-269C-435d-A152-05C5408002CA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2024-10-28T09:28:00Z</dcterms:created>
  <dc:creator>Богдан Омельченко</dc:creator>
  <cp:lastModifiedBy>TOKPNL_EPID</cp:lastModifiedBy>
  <dcterms:modified xsi:type="dcterms:W3CDTF">2024-12-27T10:47:05Z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1049-12.2.0.19778</vt:lpwstr>
  </property>
  <property fmtid="{D5CDD505-2E9C-101B-9397-08002B2CF9AE}" pid="3" name="ICV">
    <vt:lpwstr>0581AB41FB4946E9ABBB637D4FEC68EB_12</vt:lpwstr>
  </property>
</Properties>
</file>