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DFCC">
      <w:pPr>
        <w:pStyle w:val="2"/>
        <w:shd w:val="clear" w:color="auto" w:fill="FFFFFF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МЕДИЧНА ДОПОМОГА ПРИ ГОСТРОМУ МОЗКОВОМУ ІНСУЛЬТІ</w:t>
      </w:r>
      <w:r>
        <w:rPr>
          <w:rFonts w:ascii="Times New Roman" w:hAnsi="Times New Roman"/>
          <w:color w:val="2E75B5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B29278">
      <w:pPr>
        <w:keepLines/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пацієнтки (специфікація)</w:t>
      </w:r>
    </w:p>
    <w:p w14:paraId="13DBBCAE">
      <w:pPr>
        <w:keepLines/>
        <w:shd w:val="clear" w:color="auto" w:fill="FFFFFF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81AE05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1.Первинний огляд пацієнта/пацієнтки лікарем-невропатологом та/або лікарем-нейрохірургом у кабінеті нейровізуалізації або в приймальному відділенні/відділенні екстреної (невідкладної) медичної допомоги ЗОЗ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0D5D4AA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Проведення нейровізуалізації всім пацієнтам/пацієнткам з підозрою на гострий мозковий інсульт, відповідно до галузевих стандартів у сфері охорони здоров’я (не пізніше 60 хвилин з моменту звернення пацієнта/пацієнтки з підозрою на гострий мозковий інсульт в заклад охорони здоров'я (ЗОЗ) або доставлення його/її бригадою екстреної (швидкої) медичної допомоги). Забезпечення анестезіологічного супроводу пацієнта/пацієнтки для проведення нейровізуалізації. </w:t>
      </w:r>
    </w:p>
    <w:p w14:paraId="1A685C63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Моніторинг клінічних, лабораторних, інструментальних показників відповідно до галузевих стандартів у сфері охорони здоров’я. </w:t>
      </w:r>
    </w:p>
    <w:p w14:paraId="7662A397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Проведення лабораторних досліджень у цілодобовому режимі у ЗОЗ, зокрема: </w:t>
      </w:r>
    </w:p>
    <w:p w14:paraId="15433951">
      <w:pPr>
        <w:keepLines/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  розгорнутий клінічний аналіз крові з підрахунком числа тромбоцитів; </w:t>
      </w:r>
    </w:p>
    <w:p w14:paraId="5D9C368F">
      <w:pPr>
        <w:keepLines/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 біохімічний аналіз крові (С-реактивний білок, загальний білок, аспартатамінотрансфераза (АсАТ), аланінамінотрансфераза (АлАТ), креатинін, сечовина, натрій, калій, тропонін); </w:t>
      </w:r>
    </w:p>
    <w:p w14:paraId="301F428D">
      <w:pPr>
        <w:keepLines/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  глюкоза в цільній крові або сироватці крові; </w:t>
      </w:r>
    </w:p>
    <w:p w14:paraId="7B8D5FD8">
      <w:pPr>
        <w:keepLines/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 коагуляційний гемостаз (протромбіновий час, активований частковий тромбопластиновий час (АЧТЧ), міжнародне нормалізоване відношення (МНВ)); </w:t>
      </w:r>
    </w:p>
    <w:p w14:paraId="59C9D6C7">
      <w:pPr>
        <w:keepLines/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   інші лабораторні дослідження відповідно до галузевих стандартів. </w:t>
      </w:r>
    </w:p>
    <w:p w14:paraId="250D42FC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14"/>
          <w:szCs w:val="1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Проведення інструментальних досліджень, зокрема: </w:t>
      </w:r>
    </w:p>
    <w:p w14:paraId="2663C051">
      <w:pPr>
        <w:keepLines/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 xml:space="preserve">спіральна комп’ютерна томографія (СКТ) головного мозку включно з СКТ-ангіографією та/або МРТ головного мозку включно з неконтрастною МР-ангіографією у цілодобовому режимі; </w:t>
      </w:r>
    </w:p>
    <w:p w14:paraId="4E19C187">
      <w:pPr>
        <w:keepLines/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 xml:space="preserve">електрокардіографія (ЕКГ) ; </w:t>
      </w:r>
    </w:p>
    <w:p w14:paraId="7AB6457C">
      <w:pPr>
        <w:keepLines/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ультразвукові дослідження з проведенням доплерографії;</w:t>
      </w:r>
    </w:p>
    <w:p w14:paraId="2EC56C34">
      <w:pPr>
        <w:keepLines/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 xml:space="preserve">інші інструментальні дослідження відповідно до галузевих стандартів. </w:t>
      </w:r>
    </w:p>
    <w:p w14:paraId="4E947A57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14"/>
          <w:szCs w:val="1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Проведення системної тромболітичної терапії (при ішемічному інсульті).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076D5432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Лабораторний та нейровізуалізаційний контроль </w:t>
      </w:r>
      <w:r>
        <w:rPr>
          <w:rFonts w:ascii="Times New Roman" w:hAnsi="Times New Roman"/>
          <w:b/>
          <w:color w:val="444746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>через 24 години після проведення системної тромболітичної терапі</w:t>
      </w:r>
      <w:r>
        <w:rPr>
          <w:rFonts w:ascii="Roboto" w:hAnsi="Roboto"/>
          <w:sz w:val="21"/>
          <w:szCs w:val="21"/>
          <w:highlight w:val="white"/>
        </w:rPr>
        <w:t xml:space="preserve">ї </w:t>
      </w:r>
      <w:r>
        <w:rPr>
          <w:rFonts w:ascii="Times New Roman" w:hAnsi="Times New Roman"/>
          <w:sz w:val="24"/>
          <w:szCs w:val="24"/>
        </w:rPr>
        <w:t>та механічної тромбектомі</w:t>
      </w:r>
      <w:r>
        <w:rPr>
          <w:rFonts w:ascii="Times New Roman" w:hAnsi="Times New Roman"/>
          <w:sz w:val="24"/>
          <w:szCs w:val="24"/>
          <w:highlight w:val="white"/>
        </w:rPr>
        <w:t>ї</w:t>
      </w:r>
      <w:r>
        <w:rPr>
          <w:rFonts w:ascii="Roboto" w:hAnsi="Roboto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відповідно до галузевих стандартів. </w:t>
      </w:r>
    </w:p>
    <w:p w14:paraId="274D6853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Обов’язкове  направлення пацієнта/пацієнтки, який/яка є кандидатом для ендоваскулярного лікування, в інший ЗОЗ, який може проводити ендоваскулярні нейроінтервенційні втручання, відповідно до клінічного маршруту пацієнта/пацієнтки із забезпеченням термінового транспортування пацієнтів екстреною медичною допомогою. </w:t>
      </w:r>
    </w:p>
    <w:p w14:paraId="211014E4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14"/>
          <w:szCs w:val="1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Обов’язкове направлення пацієнта/пацієнтки, </w:t>
      </w:r>
      <w:r>
        <w:rPr>
          <w:rFonts w:ascii="Times New Roman" w:hAnsi="Times New Roman"/>
          <w:b/>
          <w:sz w:val="24"/>
          <w:szCs w:val="24"/>
        </w:rPr>
        <w:t>який/яка є кандидатом для відкритого нейрохірургічного оперативного втручання,</w:t>
      </w:r>
      <w:r>
        <w:rPr>
          <w:rFonts w:ascii="Times New Roman" w:hAnsi="Times New Roman"/>
          <w:sz w:val="24"/>
          <w:szCs w:val="24"/>
        </w:rPr>
        <w:t xml:space="preserve"> в інший ЗОЗ, який може проводити нейрохірургічні втручання, відповідно до клінічного маршруту пацієнта/пацієнтки із забезпеченням термінового транспортування пацієнта/пацієнтки екстреною медичною допомогою.</w:t>
      </w:r>
    </w:p>
    <w:p w14:paraId="5F07D970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Своєчасне проведення седації, анестезії та знеболення на всіх етапах діагностики та лікування: обов’язкове анестезіологічне забезпечення під час виконання всіх інвазивних діагностичних та інших лікувальних процедур, цілодобове забезпечення внутрішньовенними анестетиками, ненаркотичними та наркотичними знеболювальними засобами, а також міорелаксантами. </w:t>
      </w:r>
    </w:p>
    <w:p w14:paraId="3D19AA96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Проведення та документування скринінгу щодо порушень ковтання (тест на дисфагію) у всіх пацієнтів/пацієнток при поступленні та перед початком годування чи прийому ліків через рот (не пізніше 24 годин після госпіталізації). Динамічне спостереження за функцією ковтання. </w:t>
      </w:r>
    </w:p>
    <w:p w14:paraId="166E817D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12.Проведення консультацій лікарями інших спеціальностей, зокрема, засобами телемедицини.</w:t>
      </w:r>
    </w:p>
    <w:p w14:paraId="25007C70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Проведення консультації логопеда або терапевта мови та мовлення у перші 72 годин після госпіталізації. </w:t>
      </w:r>
    </w:p>
    <w:p w14:paraId="561C9EE8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Проведення консультації лікаря-психолога або лікаря-психотерапевта, або клінічного психолога або психолога або психотерапевта. </w:t>
      </w:r>
    </w:p>
    <w:p w14:paraId="7C0B324B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14"/>
          <w:szCs w:val="14"/>
        </w:rPr>
        <w:t xml:space="preserve">    </w:t>
      </w:r>
      <w:r>
        <w:rPr>
          <w:rFonts w:ascii="Times New Roman" w:hAnsi="Times New Roman"/>
          <w:sz w:val="24"/>
          <w:szCs w:val="24"/>
        </w:rPr>
        <w:t>Забезпечення компонентами та препаратами крові у цілодобовому режимі.</w:t>
      </w:r>
    </w:p>
    <w:p w14:paraId="02A478D3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Цілодобове лікарське спостереження та медсестринський догляд за пацієнтом/пацієнткою в стаціонарних умовах. </w:t>
      </w:r>
    </w:p>
    <w:p w14:paraId="19232C52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Надання медичної допомоги в умовах палати та\або відділення інтенсивної терапії. </w:t>
      </w:r>
    </w:p>
    <w:p w14:paraId="6E45D26F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Проведення комплексу заходів із профілактики інсульту відповідно до галузевих стандартів у сфері охорони здоров’я, зокрема консультування щодо відмови від куріння та/або надмірного споживання алкоголю, нормалізації маси тіла, збільшення фізичної активності, а також призначення медикаментів, що необхідні для контролю хронічних захворювань (артеріальна гіпертензія, гіперліпідемія, цукровий діабет тощо).</w:t>
      </w:r>
    </w:p>
    <w:p w14:paraId="22AE6C0B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Направлення пацієнта/пацієнтки до іншого ЗОЗ для отримання іншої медичної допомоги відповідно до затвердженого наказом клінічного маршруту пацієнта/пацієнтки.</w:t>
      </w:r>
    </w:p>
    <w:p w14:paraId="736150BC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Надання реабілітаційної допомоги протягом гострого реабілітаційного періоду та направлення пацієнта/пацієнтки для отримання послуг з реабілітації у післягострому реабілітаційному періоді відповідно до реабілітаційного маршруту.</w:t>
      </w:r>
    </w:p>
    <w:p w14:paraId="1AD86F51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Оцінка та документування тяжкості порушень життєдіяльності на момент виписки за модифікованою шкалою Ренкіна (МШР). </w:t>
      </w:r>
    </w:p>
    <w:p w14:paraId="5E3935E7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Забезпечення лікарськими засобами, зокрема, для тромболітичної терапії, визначеними Національним переліком основних лікарських засобів та галузевими стандартами у сфері охорони здоров’я,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 </w:t>
      </w:r>
    </w:p>
    <w:p w14:paraId="1CFA5E0B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Забезпечення пацієнта/пацієнтки з бульбарним синдромом та дисфагією лікарськими засобами для парентерального харчування та харчовими продуктами для спеціальних медичних цілей для ентерального харчування. </w:t>
      </w:r>
    </w:p>
    <w:p w14:paraId="5F37B32C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Навчання родини/доглядачів із питань особистої гігієни, стратегії спілкування, техніки переміщення, профілактики ускладнень та інших специфічних проблем, пов’язаних з гострим мозковим інсультом, контроль за безпечним ковтанням та відповідної зміни дієти, допомоги регулювання поведінки при психосоціальних проблемах. </w:t>
      </w:r>
    </w:p>
    <w:p w14:paraId="303D5D6E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14"/>
          <w:szCs w:val="1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Забезпечення харчуванням в умовах стаціонару. </w:t>
      </w:r>
    </w:p>
    <w:p w14:paraId="04C56156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Забезпечення надання медичної допомоги методами і засобами телемедицини в дистанційний спосіб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телеметрії).</w:t>
      </w:r>
    </w:p>
    <w:p w14:paraId="60C236F4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79475DD7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b/>
          <w:sz w:val="24"/>
          <w:szCs w:val="24"/>
        </w:rPr>
        <w:t>Забезпечення виконання порядку визначення діагностичних критеріїв смерті мозку людини та процедури констатації смерті мозку людини відповідно до чинних нормативно-правових актів (проведенням двох послідовних клінічних неврологічних обстежень та одного тесту апное, за умови неможливості виконання хоча б одного з етапів клінічного обстеження - проведення допоміжних  методів обстеження: дорослий пацієнт - транскраніальна доплеросонографія, електроенцефалографія, церебральна ангіографія, комп’ютерно-томографічна ангіографія головного мозку, комп’ютерно-томографічна перфузія головного мозку, перфузійна сцинтиграфія головного мозку, пацієнт у дитячому віці - електроенцефалографія та церебральна ангіографія.</w:t>
      </w:r>
    </w:p>
    <w:p w14:paraId="04DC1CA8">
      <w:pPr>
        <w:keepLines/>
        <w:shd w:val="clear" w:color="auto" w:fill="FFFFFF"/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Додаткові вимоги до обсягу медичних послуг, який надавач зобов’язується надавати за договором відповідно до медичних потреб пацієнта/пацієнтки: </w:t>
      </w:r>
    </w:p>
    <w:p w14:paraId="289604B1">
      <w:pPr>
        <w:keepLines/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Проведення нейрохірургічних, зокрема ендоваскулярних нейроінтервенційних втручань, відповідно до клінічного маршруту пацієнта/пацієнтки. </w:t>
      </w:r>
    </w:p>
    <w:p w14:paraId="6989C2E4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Лабораторний та нейровізуалізаційний контроль після застосування ендоваскулярних методів лікування відповідно до галузевих стандартів у сфері охорони здоров’я. </w:t>
      </w:r>
    </w:p>
    <w:p w14:paraId="29AAD959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Забезпечення надання нейрохірургічної допомоги, відповідно до клінічного маршруту пацієнта/пацієнтки. </w:t>
      </w:r>
    </w:p>
    <w:p w14:paraId="5456DE58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Проведення інструментальних досліджень (у цілодобовому режимі): </w:t>
      </w:r>
    </w:p>
    <w:p w14:paraId="45C6982B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селективна ангіографія; </w:t>
      </w:r>
    </w:p>
    <w:p w14:paraId="7FE4B249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КТ-перфузіографії та/або МРТ-перфузіографії. </w:t>
      </w:r>
    </w:p>
    <w:p w14:paraId="349C77D3">
      <w:pPr>
        <w:keepLines/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1"/>
    <w:rsid w:val="00A97D4B"/>
    <w:rsid w:val="00E11101"/>
    <w:rsid w:val="118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="Calibri" w:hAnsi="Calibri" w:eastAsia="Times New Roman" w:cs="Times New Roman"/>
      <w:b/>
      <w:sz w:val="48"/>
      <w:szCs w:val="4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3</Pages>
  <Words>19308</Words>
  <Characters>11007</Characters>
  <Lines>91</Lines>
  <Paragraphs>60</Paragraphs>
  <TotalTime>0</TotalTime>
  <ScaleCrop>false</ScaleCrop>
  <LinksUpToDate>false</LinksUpToDate>
  <CharactersWithSpaces>30255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2024-08-14T07:55:00Z</dcterms:created>
  <dc:creator>Богдан Омельченко</dc:creator>
  <cp:lastModifiedBy>TOKPNL_EPID</cp:lastModifiedBy>
  <dcterms:modified xsi:type="dcterms:W3CDTF">2024-12-27T10:39:38Z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3719A384F9EA4CBD950F4A262FEA2E86_12</vt:lpwstr>
  </property>
</Properties>
</file>